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1-خودکشی (پیشگیری از خودکشی با اولویت مداخلات اثر گذار و...)</w:t>
      </w:r>
      <w:bookmarkStart w:id="0" w:name="_GoBack"/>
      <w:bookmarkEnd w:id="0"/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2-طلاق (سبب شناسی، پیامدهای روانشناختی و اجتماعی،مداخلات و پیشگیری و...)</w:t>
      </w:r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3-خشونت (شیوع شناسی، سبب شناسی،خشونت های گروهی و...)</w:t>
      </w:r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4-حاشیه نشینی و مهاجرت (سبب شناسی مهاجرت و حاشیه نشینی و پیامدها و...)</w:t>
      </w:r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5-اختلالات روانپزشکی (شیوع شناسی، سبب شناسی، مداخلات پیشگیرانه و...)</w:t>
      </w:r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6-خانواده (آسیب شناسی، تک فرزندی و فرزند پروری و...)</w:t>
      </w:r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7-ازدواج (آسیب شناسی ازدواج، تاخیر در ازدواج، تجرد گرایی و...)</w:t>
      </w:r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8-سلامت روان (بهزیستی روان شناختی، رضایت از زندگی، سرمایه اجتماعی و...)</w:t>
      </w:r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9-اعتیاد (سبب شناسی، بروز و شیوع، پیشگیری و... )</w:t>
      </w:r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10-مولفه های پیشگیری از آسیب های روانی- اجتماعی (دین، رسانه جمعی، آموزش و...)</w:t>
      </w:r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11-فضای مجازی و جرائم رایانه ای</w:t>
      </w:r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12-نابرابری های اجتماعی و اقتصادی</w:t>
      </w:r>
    </w:p>
    <w:p w:rsidR="0093141C" w:rsidRPr="0093141C" w:rsidRDefault="0093141C" w:rsidP="0093141C">
      <w:pPr>
        <w:shd w:val="clear" w:color="auto" w:fill="FFFFFF"/>
        <w:spacing w:after="0" w:line="360" w:lineRule="atLeast"/>
        <w:textAlignment w:val="baseline"/>
        <w:outlineLvl w:val="5"/>
        <w:rPr>
          <w:rFonts w:ascii="Tahoma" w:eastAsia="Times New Roman" w:hAnsi="Tahoma" w:cs="B Nazanin"/>
          <w:color w:val="000000" w:themeColor="text1"/>
          <w:sz w:val="32"/>
          <w:szCs w:val="32"/>
          <w:rtl/>
        </w:rPr>
      </w:pPr>
      <w:r w:rsidRPr="0093141C">
        <w:rPr>
          <w:rFonts w:ascii="Consolas" w:eastAsia="Times New Roman" w:hAnsi="Consolas" w:cs="B Nazanin"/>
          <w:color w:val="000000" w:themeColor="text1"/>
          <w:sz w:val="32"/>
          <w:szCs w:val="32"/>
          <w:bdr w:val="none" w:sz="0" w:space="0" w:color="auto" w:frame="1"/>
          <w:shd w:val="clear" w:color="auto" w:fill="F9F2F4"/>
          <w:rtl/>
        </w:rPr>
        <w:t>13-سایر موضوعات مرتبط با آسیب های روانی- اجتماعی</w:t>
      </w:r>
    </w:p>
    <w:p w:rsidR="00125238" w:rsidRPr="0093141C" w:rsidRDefault="00125238">
      <w:pPr>
        <w:rPr>
          <w:rFonts w:cs="B Nazanin" w:hint="cs"/>
        </w:rPr>
      </w:pPr>
    </w:p>
    <w:sectPr w:rsidR="00125238" w:rsidRPr="0093141C" w:rsidSect="00AA71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1C"/>
    <w:rsid w:val="00125238"/>
    <w:rsid w:val="0093141C"/>
    <w:rsid w:val="00AA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6C93F76-9E4D-4E43-B776-F21AAC86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kazemi</dc:creator>
  <cp:keywords/>
  <dc:description/>
  <cp:lastModifiedBy>kazemi</cp:lastModifiedBy>
  <cp:revision>2</cp:revision>
  <dcterms:created xsi:type="dcterms:W3CDTF">2025-02-17T08:20:00Z</dcterms:created>
  <dcterms:modified xsi:type="dcterms:W3CDTF">2025-02-17T08:22:00Z</dcterms:modified>
</cp:coreProperties>
</file>